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43D3F" w14:textId="273029B8" w:rsidR="0064640D" w:rsidRPr="00752462" w:rsidRDefault="0064640D" w:rsidP="00752462">
      <w:pPr>
        <w:pStyle w:val="Heading1"/>
        <w:jc w:val="center"/>
        <w:rPr>
          <w:b/>
          <w:bCs/>
          <w:color w:val="auto"/>
        </w:rPr>
      </w:pPr>
      <w:r w:rsidRPr="00752462">
        <w:rPr>
          <w:b/>
          <w:bCs/>
          <w:color w:val="auto"/>
        </w:rPr>
        <w:t xml:space="preserve">Q&amp;A Session for </w:t>
      </w:r>
      <w:r w:rsidR="00385593">
        <w:rPr>
          <w:b/>
          <w:bCs/>
          <w:color w:val="auto"/>
        </w:rPr>
        <w:t>2026 Mid-Year Update</w:t>
      </w:r>
    </w:p>
    <w:p w14:paraId="0D3E8CE8" w14:textId="35F8FEAB" w:rsidR="0064640D" w:rsidRPr="00752462" w:rsidRDefault="00385593" w:rsidP="00752462">
      <w:pPr>
        <w:pStyle w:val="Heading2"/>
        <w:jc w:val="center"/>
        <w:rPr>
          <w:b/>
          <w:bCs/>
          <w:color w:val="auto"/>
        </w:rPr>
      </w:pPr>
      <w:r>
        <w:rPr>
          <w:b/>
          <w:bCs/>
          <w:color w:val="auto"/>
        </w:rPr>
        <w:t>August 4</w:t>
      </w:r>
      <w:r w:rsidR="000742F2" w:rsidRPr="00752462">
        <w:rPr>
          <w:b/>
          <w:bCs/>
          <w:color w:val="auto"/>
        </w:rPr>
        <w:t>, 202</w:t>
      </w:r>
      <w:r w:rsidR="006D3B0F">
        <w:rPr>
          <w:b/>
          <w:bCs/>
          <w:color w:val="auto"/>
        </w:rPr>
        <w:t>6</w:t>
      </w:r>
    </w:p>
    <w:tbl>
      <w:tblPr>
        <w:tblStyle w:val="GridTable2"/>
        <w:tblW w:w="12960" w:type="dxa"/>
        <w:tblLook w:val="04A0" w:firstRow="1" w:lastRow="0" w:firstColumn="1" w:lastColumn="0" w:noHBand="0" w:noVBand="1"/>
      </w:tblPr>
      <w:tblGrid>
        <w:gridCol w:w="1080"/>
        <w:gridCol w:w="5940"/>
        <w:gridCol w:w="5940"/>
      </w:tblGrid>
      <w:tr w:rsidR="005B4B36" w:rsidRPr="000E6C02" w14:paraId="0B879BBD" w14:textId="77777777" w:rsidTr="005B4B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tcPr>
          <w:p w14:paraId="33B04CDD" w14:textId="77777777" w:rsidR="005B4B36" w:rsidRPr="00665641" w:rsidRDefault="005B4B36" w:rsidP="004E01C8">
            <w:pPr>
              <w:ind w:right="-105"/>
              <w:jc w:val="center"/>
              <w:rPr>
                <w:sz w:val="28"/>
                <w:szCs w:val="28"/>
              </w:rPr>
            </w:pPr>
            <w:r>
              <w:rPr>
                <w:sz w:val="28"/>
                <w:szCs w:val="28"/>
              </w:rPr>
              <w:t>#</w:t>
            </w:r>
          </w:p>
        </w:tc>
        <w:tc>
          <w:tcPr>
            <w:tcW w:w="5940" w:type="dxa"/>
            <w:noWrap/>
          </w:tcPr>
          <w:p w14:paraId="0D81970D" w14:textId="77777777" w:rsidR="005B4B36" w:rsidRPr="00665641" w:rsidRDefault="005B4B36" w:rsidP="00D56F27">
            <w:pPr>
              <w:ind w:right="-810"/>
              <w:jc w:val="center"/>
              <w:cnfStyle w:val="100000000000" w:firstRow="1" w:lastRow="0" w:firstColumn="0" w:lastColumn="0" w:oddVBand="0" w:evenVBand="0" w:oddHBand="0" w:evenHBand="0" w:firstRowFirstColumn="0" w:firstRowLastColumn="0" w:lastRowFirstColumn="0" w:lastRowLastColumn="0"/>
            </w:pPr>
            <w:r w:rsidRPr="00665641">
              <w:rPr>
                <w:sz w:val="28"/>
                <w:szCs w:val="28"/>
              </w:rPr>
              <w:t>Question</w:t>
            </w:r>
          </w:p>
        </w:tc>
        <w:tc>
          <w:tcPr>
            <w:tcW w:w="5940" w:type="dxa"/>
          </w:tcPr>
          <w:p w14:paraId="3F8C7C41" w14:textId="77777777" w:rsidR="005B4B36" w:rsidRPr="00665641" w:rsidRDefault="005B4B36" w:rsidP="00D56F27">
            <w:pPr>
              <w:ind w:right="-810"/>
              <w:jc w:val="center"/>
              <w:cnfStyle w:val="100000000000" w:firstRow="1" w:lastRow="0" w:firstColumn="0" w:lastColumn="0" w:oddVBand="0" w:evenVBand="0" w:oddHBand="0" w:evenHBand="0" w:firstRowFirstColumn="0" w:firstRowLastColumn="0" w:lastRowFirstColumn="0" w:lastRowLastColumn="0"/>
              <w:rPr>
                <w:sz w:val="28"/>
                <w:szCs w:val="28"/>
              </w:rPr>
            </w:pPr>
            <w:r>
              <w:rPr>
                <w:sz w:val="28"/>
                <w:szCs w:val="28"/>
              </w:rPr>
              <w:t>Answer</w:t>
            </w:r>
          </w:p>
        </w:tc>
      </w:tr>
      <w:tr w:rsidR="00BF1EE6" w:rsidRPr="005B4B36" w14:paraId="1829D24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BE880C7"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41A11B33" w14:textId="1B962D35"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Can you show us on the NAACCR website how to find the free educational webinars?</w:t>
            </w:r>
          </w:p>
        </w:tc>
        <w:tc>
          <w:tcPr>
            <w:tcW w:w="5940" w:type="dxa"/>
          </w:tcPr>
          <w:p w14:paraId="5C9D4340" w14:textId="4C529ABF" w:rsidR="00BF1EE6" w:rsidRPr="005B4B36" w:rsidRDefault="0050235A"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Sure! All webinars are on the NAACCR Education and Training site </w:t>
            </w:r>
            <w:hyperlink r:id="rId8" w:history="1">
              <w:r w:rsidRPr="00C27A9B">
                <w:rPr>
                  <w:rStyle w:val="Hyperlink"/>
                  <w:rFonts w:ascii="Calibri" w:eastAsia="Times New Roman" w:hAnsi="Calibri" w:cs="Times New Roman"/>
                </w:rPr>
                <w:t>https://education.naaccr.org/</w:t>
              </w:r>
            </w:hyperlink>
            <w:r>
              <w:rPr>
                <w:rFonts w:ascii="Calibri" w:eastAsia="Times New Roman" w:hAnsi="Calibri" w:cs="Times New Roman"/>
                <w:color w:val="000000"/>
              </w:rPr>
              <w:t xml:space="preserve"> . In the middle of the page you’ll find an Updates box. Click on it for the updates webinars. Many of those (not todays) are eligible for free CE’s. All other free NAACCR webinars are listed under the NAACCR Talks and Epi Hours tab. These are free, but not eligible for CE’s. </w:t>
            </w:r>
          </w:p>
        </w:tc>
      </w:tr>
      <w:tr w:rsidR="00BF1EE6" w:rsidRPr="005B4B36" w14:paraId="29940E67"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F545090"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0A37A1C" w14:textId="56FF9863"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Can you explain why the timing for PSA Lab Value was changed?</w:t>
            </w:r>
          </w:p>
        </w:tc>
        <w:tc>
          <w:tcPr>
            <w:tcW w:w="5940" w:type="dxa"/>
          </w:tcPr>
          <w:p w14:paraId="1A9036D3" w14:textId="4FC7D111" w:rsidR="00BF1EE6" w:rsidRPr="005B4B36" w:rsidRDefault="00DD3342"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It was felt that too many PSA’s were not being used due to the current rules for timing. The changes allow for more PSA’s to be recorded.</w:t>
            </w:r>
          </w:p>
        </w:tc>
      </w:tr>
      <w:tr w:rsidR="00BF1EE6" w:rsidRPr="005B4B36" w14:paraId="746E98D6"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FF94AEA"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9BBCBC4" w14:textId="2685F85D"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SSDI, Lung STAS, note 4 says codes 0, 1, 7 may not be assigned if they are note included in CAP or synoptic path report.  Code 7 is not listed as a valid code for this SSDI.  Does note 4 need to be revised or should code 7 be added as a valid code?</w:t>
            </w:r>
          </w:p>
        </w:tc>
        <w:tc>
          <w:tcPr>
            <w:tcW w:w="5940" w:type="dxa"/>
          </w:tcPr>
          <w:p w14:paraId="0484C462" w14:textId="2F89B7ED"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This was fixed. Will show up in the 2027 changes.</w:t>
            </w:r>
          </w:p>
        </w:tc>
      </w:tr>
      <w:tr w:rsidR="00BF1EE6" w:rsidRPr="005B4B36" w14:paraId="6316205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951CEED"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227C1884" w14:textId="1C960D74"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If both imaging and physical examination are available but they disagree, which source should drive the cENE code?</w:t>
            </w:r>
          </w:p>
        </w:tc>
        <w:tc>
          <w:tcPr>
            <w:tcW w:w="5940" w:type="dxa"/>
          </w:tcPr>
          <w:p w14:paraId="0DC53F32" w14:textId="0132B3C3" w:rsidR="00BF1EE6" w:rsidRPr="005B4B36" w:rsidRDefault="00DD3342"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Probably the imaging. </w:t>
            </w:r>
          </w:p>
        </w:tc>
      </w:tr>
      <w:tr w:rsidR="00BF1EE6" w:rsidRPr="005B4B36" w14:paraId="762DFD41"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D92D253"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749B75DE" w14:textId="7B0F3475"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Where is a positive DISTANT LN bx or FNA coded for head and neck when it is done separately from a surgery?</w:t>
            </w:r>
          </w:p>
        </w:tc>
        <w:tc>
          <w:tcPr>
            <w:tcW w:w="5940" w:type="dxa"/>
          </w:tcPr>
          <w:p w14:paraId="0B05BCF0" w14:textId="109DFF1A" w:rsidR="00BF1EE6" w:rsidRPr="005B4B36" w:rsidRDefault="00D4652D"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I may be missing something, but bases on what you have provided, it would go in Surgery Other. </w:t>
            </w:r>
          </w:p>
        </w:tc>
      </w:tr>
      <w:tr w:rsidR="00BF1EE6" w:rsidRPr="005B4B36" w14:paraId="5D204684"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C2719CB"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3156C7E" w14:textId="1C113968"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What if the psa is not done within the 3 month time frame?</w:t>
            </w:r>
          </w:p>
        </w:tc>
        <w:tc>
          <w:tcPr>
            <w:tcW w:w="5940" w:type="dxa"/>
          </w:tcPr>
          <w:p w14:paraId="47EFFF41" w14:textId="6CB089FC" w:rsidR="00BF1EE6" w:rsidRPr="005B4B36" w:rsidRDefault="00DD3342"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Please review the updated notes. If you still have questions, please post in the SSDI Canswer Forum</w:t>
            </w:r>
          </w:p>
        </w:tc>
      </w:tr>
      <w:tr w:rsidR="00BF1EE6" w:rsidRPr="005B4B36" w14:paraId="4C702BE8"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6F2A56A"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15C0A5B5" w14:textId="540C5753"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H</w:t>
            </w:r>
            <w:r>
              <w:t>PV</w:t>
            </w:r>
            <w:r w:rsidRPr="007D41A5">
              <w:t xml:space="preserve"> positive is listed in the notes on the website. </w:t>
            </w:r>
            <w:r>
              <w:t>HPV</w:t>
            </w:r>
            <w:r w:rsidRPr="007D41A5">
              <w:t xml:space="preserve">-neg is also give.  What are the differences between </w:t>
            </w:r>
            <w:r>
              <w:t>HPV</w:t>
            </w:r>
            <w:r w:rsidRPr="007D41A5">
              <w:t xml:space="preserve">-neg and </w:t>
            </w:r>
            <w:r>
              <w:t>HPV</w:t>
            </w:r>
            <w:r w:rsidRPr="007D41A5">
              <w:t>-independent? Why the change in language?</w:t>
            </w:r>
          </w:p>
        </w:tc>
        <w:tc>
          <w:tcPr>
            <w:tcW w:w="5940" w:type="dxa"/>
          </w:tcPr>
          <w:p w14:paraId="1AA1CE33" w14:textId="2C781832"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This change came from AJCC. HPV-negative and HPV-independent are the same thing. </w:t>
            </w:r>
          </w:p>
        </w:tc>
      </w:tr>
      <w:tr w:rsidR="00BF1EE6" w:rsidRPr="005B4B36" w14:paraId="7D7486CF"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2335262"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5EC1B19" w14:textId="4574441D"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What prompted the move from numeric values to positive/negative/unknown in 2027, and what advantages do you expect this change to provide for data quality or analysis?</w:t>
            </w:r>
          </w:p>
        </w:tc>
        <w:tc>
          <w:tcPr>
            <w:tcW w:w="5940" w:type="dxa"/>
          </w:tcPr>
          <w:p w14:paraId="4DD848FA" w14:textId="222C4F5B" w:rsidR="00BF1EE6" w:rsidRPr="005B4B36" w:rsidRDefault="00A21F7F"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Take a look at the </w:t>
            </w:r>
            <w:hyperlink r:id="rId9" w:history="1">
              <w:r w:rsidRPr="00A21F7F">
                <w:rPr>
                  <w:rStyle w:val="Hyperlink"/>
                  <w:rFonts w:ascii="Calibri" w:eastAsia="Times New Roman" w:hAnsi="Calibri" w:cs="Times New Roman"/>
                </w:rPr>
                <w:t>CAP protocol for Lung Biomarkers</w:t>
              </w:r>
            </w:hyperlink>
            <w:r>
              <w:rPr>
                <w:rFonts w:ascii="Calibri" w:eastAsia="Times New Roman" w:hAnsi="Calibri" w:cs="Times New Roman"/>
                <w:color w:val="000000"/>
              </w:rPr>
              <w:t xml:space="preserve"> I think there are 7-8 different methods for testing PD-L1. Some use TPS and others do not. However, they all have Pos/neg scores. Since we don’t have the option of collecting the type of test being used, we felt our best option was to just collect the interpretation of the test rather than the results. </w:t>
            </w:r>
          </w:p>
        </w:tc>
      </w:tr>
      <w:tr w:rsidR="00BF1EE6" w:rsidRPr="005B4B36" w14:paraId="278E630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184A6FC"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39070BFB" w14:textId="145BB2AA" w:rsidR="00BF1EE6" w:rsidRDefault="00BF1EE6" w:rsidP="00BF1EE6">
            <w:pPr>
              <w:cnfStyle w:val="000000100000" w:firstRow="0" w:lastRow="0" w:firstColumn="0" w:lastColumn="0" w:oddVBand="0" w:evenVBand="0" w:oddHBand="1" w:evenHBand="0" w:firstRowFirstColumn="0" w:firstRowLastColumn="0" w:lastRowFirstColumn="0" w:lastRowLastColumn="0"/>
            </w:pPr>
            <w:r>
              <w:t>S</w:t>
            </w:r>
            <w:r w:rsidRPr="007D41A5">
              <w:t>o it doesn't matter how many cores were removed from the target zone? It will always just be counted as one</w:t>
            </w:r>
            <w:r>
              <w:t>?</w:t>
            </w:r>
          </w:p>
        </w:tc>
        <w:tc>
          <w:tcPr>
            <w:tcW w:w="5940" w:type="dxa"/>
          </w:tcPr>
          <w:p w14:paraId="5E636E61" w14:textId="58AAF9CF"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Nope, always recorded as 1/1. Please review Note 4 in the cores examined and positive SSDIs.</w:t>
            </w:r>
          </w:p>
        </w:tc>
      </w:tr>
      <w:tr w:rsidR="00BF1EE6" w:rsidRPr="005B4B36" w14:paraId="606CD09F"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7839B65"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EED4A2E" w14:textId="2D01EF4B"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 xml:space="preserve">Regarding the new alignment - If we are currently abstracting end-of-year 2025 cases, we should be using 2026.1 Solid Tumor Rules for these - correct (rather than 2026 Solid Tumor Rules) - In other words, unlike other manuals, this is NOT based on the diagnosis year.  Can you confirm? </w:t>
            </w:r>
          </w:p>
        </w:tc>
        <w:tc>
          <w:tcPr>
            <w:tcW w:w="5940" w:type="dxa"/>
          </w:tcPr>
          <w:p w14:paraId="70786528" w14:textId="77777777" w:rsidR="00BF1EE6" w:rsidRDefault="00B336D0"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That is correct, you should use the </w:t>
            </w:r>
            <w:r w:rsidRPr="00B336D0">
              <w:rPr>
                <w:rFonts w:ascii="Calibri" w:eastAsia="Times New Roman" w:hAnsi="Calibri" w:cs="Times New Roman"/>
                <w:b/>
                <w:bCs/>
                <w:color w:val="000000"/>
              </w:rPr>
              <w:t>latest version</w:t>
            </w:r>
            <w:r>
              <w:rPr>
                <w:rFonts w:ascii="Calibri" w:eastAsia="Times New Roman" w:hAnsi="Calibri" w:cs="Times New Roman"/>
                <w:color w:val="000000"/>
              </w:rPr>
              <w:t xml:space="preserve"> of the Solid Tumor Rules for all diagnosis years for which the STR is applicable (2023+ for Other Sites, 2021+ for Melanoma, 2019+ for everything else).</w:t>
            </w:r>
          </w:p>
          <w:p w14:paraId="2043B469" w14:textId="5E1837C8" w:rsidR="00B336D0" w:rsidRPr="005B4B36" w:rsidRDefault="00B336D0"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Example: If you are abstracting a 2023 Breast case in 2026, use the STR 2026.1 Update. </w:t>
            </w:r>
          </w:p>
        </w:tc>
      </w:tr>
      <w:tr w:rsidR="00BF1EE6" w:rsidRPr="005B4B36" w14:paraId="01D048BB"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361513F"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7769D20" w14:textId="3FC8FCD6"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Our facility is currently abstracting 2025 DY - can the guidelines for PD-L1 (negative code to XXX.2; positive code to XXX.4) be applied to those cases now?</w:t>
            </w:r>
          </w:p>
        </w:tc>
        <w:tc>
          <w:tcPr>
            <w:tcW w:w="5940" w:type="dxa"/>
          </w:tcPr>
          <w:p w14:paraId="4C76BA27" w14:textId="4C40CF6F"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You can use the guidelines now or wait. Year of diagnosis does not matter.</w:t>
            </w:r>
          </w:p>
        </w:tc>
      </w:tr>
      <w:tr w:rsidR="00BF1EE6" w:rsidRPr="005B4B36" w14:paraId="147C9B82"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6035EA2"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4A522EF0" w14:textId="05DB498B"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How to code cases where the pathology report uses qualitative terms like 'predominantly,' 'focal,' or 'minor component' but doesn't provide percentages?</w:t>
            </w:r>
          </w:p>
        </w:tc>
        <w:tc>
          <w:tcPr>
            <w:tcW w:w="5940" w:type="dxa"/>
          </w:tcPr>
          <w:p w14:paraId="25B62B56" w14:textId="3374D882" w:rsidR="00B336D0" w:rsidRDefault="00B336D0" w:rsidP="00B336D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Is this referring to lung adenocarcinoma patterns? If so, when predominantly is used, code it. Example, “adenocarcinoma, acinar predominant”. Code 8551.</w:t>
            </w:r>
          </w:p>
          <w:p w14:paraId="4DDF8EF8" w14:textId="10F2CEE2" w:rsidR="00B336D0" w:rsidRPr="00B336D0" w:rsidRDefault="00B336D0" w:rsidP="00B336D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For “</w:t>
            </w:r>
            <w:r w:rsidRPr="00B336D0">
              <w:rPr>
                <w:rFonts w:ascii="Calibri" w:eastAsia="Times New Roman" w:hAnsi="Calibri" w:cs="Times New Roman"/>
                <w:color w:val="000000"/>
              </w:rPr>
              <w:t>Focal</w:t>
            </w:r>
            <w:r>
              <w:rPr>
                <w:rFonts w:ascii="Calibri" w:eastAsia="Times New Roman" w:hAnsi="Calibri" w:cs="Times New Roman"/>
                <w:color w:val="000000"/>
              </w:rPr>
              <w:t>”</w:t>
            </w:r>
            <w:r w:rsidRPr="00B336D0">
              <w:rPr>
                <w:rFonts w:ascii="Calibri" w:eastAsia="Times New Roman" w:hAnsi="Calibri" w:cs="Times New Roman"/>
                <w:color w:val="000000"/>
              </w:rPr>
              <w:t xml:space="preserve"> and </w:t>
            </w:r>
            <w:r>
              <w:rPr>
                <w:rFonts w:ascii="Calibri" w:eastAsia="Times New Roman" w:hAnsi="Calibri" w:cs="Times New Roman"/>
                <w:color w:val="000000"/>
              </w:rPr>
              <w:t>“</w:t>
            </w:r>
            <w:r w:rsidRPr="00B336D0">
              <w:rPr>
                <w:rFonts w:ascii="Calibri" w:eastAsia="Times New Roman" w:hAnsi="Calibri" w:cs="Times New Roman"/>
                <w:color w:val="000000"/>
              </w:rPr>
              <w:t>minor component</w:t>
            </w:r>
            <w:r>
              <w:rPr>
                <w:rFonts w:ascii="Calibri" w:eastAsia="Times New Roman" w:hAnsi="Calibri" w:cs="Times New Roman"/>
                <w:color w:val="000000"/>
              </w:rPr>
              <w:t>”</w:t>
            </w:r>
            <w:r w:rsidRPr="00B336D0">
              <w:rPr>
                <w:rFonts w:ascii="Calibri" w:eastAsia="Times New Roman" w:hAnsi="Calibri" w:cs="Times New Roman"/>
                <w:color w:val="000000"/>
              </w:rPr>
              <w:t xml:space="preserve">: it’s hard to give guidance for this without knowing exactly what you’re referring to. </w:t>
            </w:r>
            <w:r>
              <w:rPr>
                <w:rFonts w:ascii="Calibri" w:eastAsia="Times New Roman" w:hAnsi="Calibri" w:cs="Times New Roman"/>
                <w:color w:val="000000"/>
              </w:rPr>
              <w:t>Please submit a question to AASR.</w:t>
            </w:r>
          </w:p>
        </w:tc>
      </w:tr>
      <w:tr w:rsidR="00BF1EE6" w:rsidRPr="005B4B36" w14:paraId="564AA450"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88D21E5"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95A29FA" w14:textId="2A384DC9"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How are Central Registries expected to handle the histologies that were removed as subtypes in the histology tables in many of the site groups in terms of counting tumors? What do we do with old data where we counted the tumor once?</w:t>
            </w:r>
          </w:p>
        </w:tc>
        <w:tc>
          <w:tcPr>
            <w:tcW w:w="5940" w:type="dxa"/>
          </w:tcPr>
          <w:p w14:paraId="43094937" w14:textId="3F0A4B45" w:rsidR="00BF1EE6" w:rsidRPr="005B4B36" w:rsidRDefault="00B336D0"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Registries are not expected to review old cases. If you encounter an issue due to a histology being removed from the table, please contact AASR.</w:t>
            </w:r>
          </w:p>
        </w:tc>
      </w:tr>
      <w:tr w:rsidR="00BF1EE6" w:rsidRPr="005B4B36" w14:paraId="24031B5E"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9C0AED2"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FFF9E4E" w14:textId="65175F4B"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Lung 8255. STR 26.1 says this code should be used as a last resort, and Cancer PathCHART has determined that 8255 is an “unlikely” histology for lung. If 8255 is the correct code per the histology rules, override inter-field edit 25. Is that still true?</w:t>
            </w:r>
          </w:p>
        </w:tc>
        <w:tc>
          <w:tcPr>
            <w:tcW w:w="5940" w:type="dxa"/>
          </w:tcPr>
          <w:p w14:paraId="3C690575" w14:textId="21D1F389" w:rsidR="00BF1EE6" w:rsidRPr="005B4B36" w:rsidRDefault="00B336D0"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Yes, that is still true.</w:t>
            </w:r>
          </w:p>
        </w:tc>
      </w:tr>
      <w:tr w:rsidR="00BF1EE6" w:rsidRPr="005B4B36" w14:paraId="47C6FDFD"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BC18439"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9FA448B" w14:textId="4A310D2B"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Will the STR manual go back to being a quick link from Registry Operations or will it remain only as a download file?</w:t>
            </w:r>
          </w:p>
        </w:tc>
        <w:tc>
          <w:tcPr>
            <w:tcW w:w="5940" w:type="dxa"/>
          </w:tcPr>
          <w:p w14:paraId="6124470F" w14:textId="0A8F7E2C" w:rsidR="00BF1EE6" w:rsidRPr="005B4B36" w:rsidRDefault="0050235A"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For now, it will continue to be a downloadable .pdf file</w:t>
            </w:r>
            <w:r w:rsidR="00D4652D">
              <w:rPr>
                <w:rFonts w:ascii="Calibri" w:eastAsia="Times New Roman" w:hAnsi="Calibri" w:cs="Times New Roman"/>
                <w:color w:val="000000"/>
              </w:rPr>
              <w:t xml:space="preserve">, but we are planning for some additional, user friendly options in the near future. </w:t>
            </w:r>
          </w:p>
        </w:tc>
      </w:tr>
      <w:tr w:rsidR="00BF1EE6" w:rsidRPr="005B4B36" w14:paraId="13655E3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3E28362"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43D6FEA6" w14:textId="56D308BB"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What was this about the gist? All Gist are considered malignant?</w:t>
            </w:r>
          </w:p>
        </w:tc>
        <w:tc>
          <w:tcPr>
            <w:tcW w:w="5940" w:type="dxa"/>
          </w:tcPr>
          <w:p w14:paraId="29F4120E" w14:textId="74F12DF6" w:rsidR="00BF1EE6" w:rsidRPr="005B4B36" w:rsidRDefault="0050235A"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That is correct. We had this confirmed by multiple sources. Even a “benign” GIST has potential to metastasize. Therefore, all GISTs are reportable as a /3.  I (Jim) have to admit, that is not how I understood the change that went into effect in 2021, but that was the standard setter’s intent. </w:t>
            </w:r>
          </w:p>
        </w:tc>
      </w:tr>
      <w:tr w:rsidR="00BF1EE6" w:rsidRPr="005B4B36" w14:paraId="13F19C3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76F49E5"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537279DB" w14:textId="51695616"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If the PDL-1 TPS is documented as &lt;1% negative, we've been coding it as 0.9. When the data is converted will this be converted to positive? Should we be coding these as negative or use the XXX.2?</w:t>
            </w:r>
          </w:p>
        </w:tc>
        <w:tc>
          <w:tcPr>
            <w:tcW w:w="5940" w:type="dxa"/>
          </w:tcPr>
          <w:p w14:paraId="69B9B214" w14:textId="22B527EE"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You can either code them as 0.9 or XXX.2</w:t>
            </w:r>
          </w:p>
        </w:tc>
      </w:tr>
      <w:tr w:rsidR="00BF1EE6" w:rsidRPr="005B4B36" w14:paraId="00905451"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610660A"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7E276898" w14:textId="31EECF48" w:rsidR="00BF1EE6" w:rsidRDefault="00BF1EE6" w:rsidP="00BF1EE6">
            <w:pPr>
              <w:cnfStyle w:val="000000000000" w:firstRow="0" w:lastRow="0" w:firstColumn="0" w:lastColumn="0" w:oddVBand="0" w:evenVBand="0" w:oddHBand="0" w:evenHBand="0" w:firstRowFirstColumn="0" w:firstRowLastColumn="0" w:lastRowFirstColumn="0" w:lastRowLastColumn="0"/>
            </w:pPr>
            <w:r>
              <w:t>W</w:t>
            </w:r>
            <w:r w:rsidRPr="007D41A5">
              <w:t>hen the lung histology is 40% acinar, 40% papillary micropapillary and 20% solid what will be the histology</w:t>
            </w:r>
            <w:r>
              <w:t>?</w:t>
            </w:r>
          </w:p>
        </w:tc>
        <w:tc>
          <w:tcPr>
            <w:tcW w:w="5940" w:type="dxa"/>
          </w:tcPr>
          <w:p w14:paraId="48E47CB0" w14:textId="4E482F69" w:rsidR="00BF1EE6" w:rsidRPr="005B4B36" w:rsidRDefault="00B336D0"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Code 8255/3. See Lung H7 Note 2 and H8, as well as Table 2. </w:t>
            </w:r>
          </w:p>
        </w:tc>
      </w:tr>
      <w:tr w:rsidR="00BF1EE6" w:rsidRPr="005B4B36" w14:paraId="413ADDD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1A708C55"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AC45857" w14:textId="55085D9D"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For the stomach example, if both intestinal and tubular types are documented, what specific wording determines whether a combination code or a single histology code should be assigned?</w:t>
            </w:r>
          </w:p>
        </w:tc>
        <w:tc>
          <w:tcPr>
            <w:tcW w:w="5940" w:type="dxa"/>
          </w:tcPr>
          <w:p w14:paraId="223F8E64" w14:textId="6671AFBB" w:rsidR="00BF1EE6" w:rsidRDefault="00B336D0"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I’m not sure what you mean by specific wording. If on the </w:t>
            </w:r>
            <w:r w:rsidR="00532AE4">
              <w:rPr>
                <w:rFonts w:ascii="Calibri" w:eastAsia="Times New Roman" w:hAnsi="Calibri" w:cs="Times New Roman"/>
                <w:color w:val="000000"/>
              </w:rPr>
              <w:t xml:space="preserve">Stomach </w:t>
            </w:r>
            <w:r>
              <w:rPr>
                <w:rFonts w:ascii="Calibri" w:eastAsia="Times New Roman" w:hAnsi="Calibri" w:cs="Times New Roman"/>
                <w:color w:val="000000"/>
              </w:rPr>
              <w:t xml:space="preserve">CAP protocol, there is a subtype checked under </w:t>
            </w:r>
            <w:r w:rsidR="00532AE4">
              <w:rPr>
                <w:rFonts w:ascii="Calibri" w:eastAsia="Times New Roman" w:hAnsi="Calibri" w:cs="Times New Roman"/>
                <w:color w:val="000000"/>
              </w:rPr>
              <w:t xml:space="preserve">the section </w:t>
            </w:r>
            <w:r>
              <w:rPr>
                <w:rFonts w:ascii="Calibri" w:eastAsia="Times New Roman" w:hAnsi="Calibri" w:cs="Times New Roman"/>
                <w:color w:val="000000"/>
              </w:rPr>
              <w:t>“</w:t>
            </w:r>
            <w:r w:rsidRPr="00B336D0">
              <w:rPr>
                <w:rFonts w:ascii="Calibri" w:eastAsia="Times New Roman" w:hAnsi="Calibri" w:cs="Times New Roman"/>
                <w:color w:val="000000"/>
              </w:rPr>
              <w:t>Adenocarcinoma Classification (based on WHO)</w:t>
            </w:r>
            <w:r>
              <w:rPr>
                <w:rFonts w:ascii="Calibri" w:eastAsia="Times New Roman" w:hAnsi="Calibri" w:cs="Times New Roman"/>
                <w:color w:val="000000"/>
              </w:rPr>
              <w:t>” and another subtype is checked under “</w:t>
            </w:r>
            <w:r w:rsidRPr="00B336D0">
              <w:rPr>
                <w:rFonts w:ascii="Calibri" w:eastAsia="Times New Roman" w:hAnsi="Calibri" w:cs="Times New Roman"/>
                <w:color w:val="000000"/>
              </w:rPr>
              <w:t>Lauren Classification of Adenocarcinoma</w:t>
            </w:r>
            <w:r>
              <w:rPr>
                <w:rFonts w:ascii="Calibri" w:eastAsia="Times New Roman" w:hAnsi="Calibri" w:cs="Times New Roman"/>
                <w:color w:val="000000"/>
              </w:rPr>
              <w:t xml:space="preserve">”, then select the WHO histology. If there are two adenocarcinoma subtypes </w:t>
            </w:r>
            <w:r w:rsidR="00532AE4">
              <w:rPr>
                <w:rFonts w:ascii="Calibri" w:eastAsia="Times New Roman" w:hAnsi="Calibri" w:cs="Times New Roman"/>
                <w:color w:val="000000"/>
              </w:rPr>
              <w:t>checked that do NOT fall into the situation described above, then code 8255</w:t>
            </w:r>
            <w:r w:rsidR="00532AE4">
              <w:t xml:space="preserve"> </w:t>
            </w:r>
            <w:r w:rsidR="00532AE4" w:rsidRPr="00532AE4">
              <w:rPr>
                <w:rFonts w:ascii="Calibri" w:eastAsia="Times New Roman" w:hAnsi="Calibri" w:cs="Times New Roman"/>
                <w:color w:val="000000"/>
              </w:rPr>
              <w:t>adenocarcinoma, mixed subtypes</w:t>
            </w:r>
            <w:r w:rsidR="00532AE4">
              <w:rPr>
                <w:rFonts w:ascii="Calibri" w:eastAsia="Times New Roman" w:hAnsi="Calibri" w:cs="Times New Roman"/>
                <w:color w:val="000000"/>
              </w:rPr>
              <w:t>.</w:t>
            </w:r>
          </w:p>
          <w:p w14:paraId="03C5A3B6" w14:textId="77777777" w:rsidR="00532AE4" w:rsidRDefault="00532AE4"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Examples:</w:t>
            </w:r>
          </w:p>
          <w:p w14:paraId="450818AF" w14:textId="77777777" w:rsidR="00532AE4" w:rsidRDefault="00532AE4"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-Papillary adenocarcinoma (WHO) and intestinal type adenocarcinoma (Lauren) are both checked. Code papillary adenocarcinoma because it is the WHO histology.</w:t>
            </w:r>
          </w:p>
          <w:p w14:paraId="01665252" w14:textId="77777777" w:rsidR="00532AE4" w:rsidRDefault="00532AE4"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w:t>
            </w:r>
            <w:r>
              <w:t xml:space="preserve"> </w:t>
            </w:r>
            <w:r w:rsidRPr="00532AE4">
              <w:rPr>
                <w:rFonts w:ascii="Calibri" w:eastAsia="Times New Roman" w:hAnsi="Calibri" w:cs="Times New Roman"/>
                <w:color w:val="000000"/>
              </w:rPr>
              <w:t>Tubular adenocarcinoma</w:t>
            </w:r>
            <w:r>
              <w:rPr>
                <w:rFonts w:ascii="Calibri" w:eastAsia="Times New Roman" w:hAnsi="Calibri" w:cs="Times New Roman"/>
                <w:color w:val="000000"/>
              </w:rPr>
              <w:t xml:space="preserve"> (WHO) and </w:t>
            </w:r>
            <w:r w:rsidRPr="00532AE4">
              <w:rPr>
                <w:rFonts w:ascii="Calibri" w:eastAsia="Times New Roman" w:hAnsi="Calibri" w:cs="Times New Roman"/>
                <w:color w:val="000000"/>
              </w:rPr>
              <w:t>Micropapillary adenocarcinoma</w:t>
            </w:r>
            <w:r>
              <w:rPr>
                <w:rFonts w:ascii="Calibri" w:eastAsia="Times New Roman" w:hAnsi="Calibri" w:cs="Times New Roman"/>
                <w:color w:val="000000"/>
              </w:rPr>
              <w:t xml:space="preserve"> (not under WHO or Lauren) are both checked. Code 8255.</w:t>
            </w:r>
          </w:p>
          <w:p w14:paraId="121143D1" w14:textId="77777777" w:rsidR="00A21F7F" w:rsidRDefault="00A21F7F"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p>
          <w:p w14:paraId="097DFC0B" w14:textId="0AF5531D" w:rsidR="00A21F7F" w:rsidRPr="005B4B36" w:rsidRDefault="00A21F7F" w:rsidP="00A21F7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See the </w:t>
            </w:r>
            <w:hyperlink r:id="rId10" w:history="1">
              <w:r w:rsidRPr="00A21F7F">
                <w:rPr>
                  <w:rStyle w:val="Hyperlink"/>
                  <w:rFonts w:ascii="Calibri" w:eastAsia="Times New Roman" w:hAnsi="Calibri" w:cs="Times New Roman"/>
                </w:rPr>
                <w:t>CAP Stomach protocol f</w:t>
              </w:r>
            </w:hyperlink>
            <w:r>
              <w:rPr>
                <w:rFonts w:ascii="Calibri" w:eastAsia="Times New Roman" w:hAnsi="Calibri" w:cs="Times New Roman"/>
                <w:color w:val="000000"/>
              </w:rPr>
              <w:t xml:space="preserve">or an example. Look at histologic type to see the histologies based on WHO and those based on Lauren classification of adenocarcinomas. </w:t>
            </w:r>
          </w:p>
        </w:tc>
      </w:tr>
      <w:tr w:rsidR="00BF1EE6" w:rsidRPr="005B4B36" w14:paraId="08601420"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20A44F04"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5A780B51" w14:textId="3900446F" w:rsidR="00BF1EE6" w:rsidRDefault="00BF1EE6" w:rsidP="00BF1EE6">
            <w:pPr>
              <w:cnfStyle w:val="000000000000" w:firstRow="0" w:lastRow="0" w:firstColumn="0" w:lastColumn="0" w:oddVBand="0" w:evenVBand="0" w:oddHBand="0" w:evenHBand="0" w:firstRowFirstColumn="0" w:firstRowLastColumn="0" w:lastRowFirstColumn="0" w:lastRowLastColumn="0"/>
            </w:pPr>
            <w:r>
              <w:t>A</w:t>
            </w:r>
            <w:r w:rsidRPr="007D41A5">
              <w:t xml:space="preserve">ll </w:t>
            </w:r>
            <w:r w:rsidR="00A21F7F">
              <w:t>GIST’s</w:t>
            </w:r>
            <w:r w:rsidRPr="007D41A5">
              <w:t xml:space="preserve"> are coded /3 even if stated benign?</w:t>
            </w:r>
          </w:p>
        </w:tc>
        <w:tc>
          <w:tcPr>
            <w:tcW w:w="5940" w:type="dxa"/>
          </w:tcPr>
          <w:p w14:paraId="4A570B7A" w14:textId="383E950C" w:rsidR="00BF1EE6" w:rsidRPr="005B4B36" w:rsidRDefault="0050235A"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That is correct for cases diagnosed 2021 and later.</w:t>
            </w:r>
          </w:p>
        </w:tc>
      </w:tr>
      <w:tr w:rsidR="00BF1EE6" w:rsidRPr="005B4B36" w14:paraId="276DF69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55E6BB5A"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FAE5E1D" w14:textId="2F865791"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Which 2–3 pathology phrases pose the highest risk for incorrect histology coding under the 2026.1 rules?</w:t>
            </w:r>
          </w:p>
        </w:tc>
        <w:tc>
          <w:tcPr>
            <w:tcW w:w="5940" w:type="dxa"/>
          </w:tcPr>
          <w:p w14:paraId="2F5D4006" w14:textId="4408E36F" w:rsidR="00BF1EE6" w:rsidRPr="005B4B36" w:rsidRDefault="0050235A"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I’m not sure!</w:t>
            </w:r>
          </w:p>
        </w:tc>
      </w:tr>
      <w:tr w:rsidR="00BF1EE6" w:rsidRPr="005B4B36" w14:paraId="46FBB945"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872F54D"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3D392F47" w14:textId="2110B277"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 xml:space="preserve">If pt returns with mets, </w:t>
            </w:r>
            <w:r w:rsidR="0050235A" w:rsidRPr="007D41A5">
              <w:t>isn’t</w:t>
            </w:r>
            <w:r w:rsidRPr="007D41A5">
              <w:t xml:space="preserve"> a recurrence?</w:t>
            </w:r>
          </w:p>
        </w:tc>
        <w:tc>
          <w:tcPr>
            <w:tcW w:w="5940" w:type="dxa"/>
          </w:tcPr>
          <w:p w14:paraId="5C939DF5" w14:textId="77777777" w:rsidR="00BF779A" w:rsidRDefault="00BF779A"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Assuming the patient didn’t have it at dx and had disease free period, yes</w:t>
            </w:r>
            <w:r w:rsidR="0050235A">
              <w:rPr>
                <w:rFonts w:ascii="Calibri" w:eastAsia="Times New Roman" w:hAnsi="Calibri" w:cs="Times New Roman"/>
                <w:color w:val="000000"/>
              </w:rPr>
              <w:t xml:space="preserve">. </w:t>
            </w:r>
          </w:p>
          <w:p w14:paraId="3A7F90AD" w14:textId="77777777" w:rsidR="00BF779A" w:rsidRDefault="00BF779A"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p w14:paraId="55D77DA3" w14:textId="256F50E8" w:rsidR="00BF1EE6" w:rsidRPr="005B4B36" w:rsidRDefault="0050235A"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Recurrence can be </w:t>
            </w:r>
            <w:r w:rsidR="00BF779A">
              <w:rPr>
                <w:rFonts w:ascii="Calibri" w:eastAsia="Times New Roman" w:hAnsi="Calibri" w:cs="Times New Roman"/>
                <w:color w:val="000000"/>
              </w:rPr>
              <w:t>the same disease returning to t</w:t>
            </w:r>
            <w:r>
              <w:rPr>
                <w:rFonts w:ascii="Calibri" w:eastAsia="Times New Roman" w:hAnsi="Calibri" w:cs="Times New Roman"/>
                <w:color w:val="000000"/>
              </w:rPr>
              <w:t xml:space="preserve">he same organ or tissue as the original, </w:t>
            </w:r>
            <w:r w:rsidR="00BF779A">
              <w:rPr>
                <w:rFonts w:ascii="Calibri" w:eastAsia="Times New Roman" w:hAnsi="Calibri" w:cs="Times New Roman"/>
                <w:color w:val="000000"/>
              </w:rPr>
              <w:t xml:space="preserve">same disease developing in </w:t>
            </w:r>
            <w:r>
              <w:rPr>
                <w:rFonts w:ascii="Calibri" w:eastAsia="Times New Roman" w:hAnsi="Calibri" w:cs="Times New Roman"/>
                <w:color w:val="000000"/>
              </w:rPr>
              <w:lastRenderedPageBreak/>
              <w:t xml:space="preserve">regional LN met, or </w:t>
            </w:r>
            <w:r w:rsidR="00BF779A">
              <w:rPr>
                <w:rFonts w:ascii="Calibri" w:eastAsia="Times New Roman" w:hAnsi="Calibri" w:cs="Times New Roman"/>
                <w:color w:val="000000"/>
              </w:rPr>
              <w:t>the same disease developing in</w:t>
            </w:r>
            <w:r>
              <w:rPr>
                <w:rFonts w:ascii="Calibri" w:eastAsia="Times New Roman" w:hAnsi="Calibri" w:cs="Times New Roman"/>
                <w:color w:val="000000"/>
              </w:rPr>
              <w:t xml:space="preserve"> distant mets, or all of the above.</w:t>
            </w:r>
          </w:p>
        </w:tc>
      </w:tr>
      <w:tr w:rsidR="00BF1EE6" w:rsidRPr="005B4B36" w14:paraId="236769B6"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3AA13476"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556673C0" w14:textId="06CB59ED" w:rsidR="00BF1EE6" w:rsidRDefault="00BF1EE6" w:rsidP="00BF1EE6">
            <w:pPr>
              <w:cnfStyle w:val="000000100000" w:firstRow="0" w:lastRow="0" w:firstColumn="0" w:lastColumn="0" w:oddVBand="0" w:evenVBand="0" w:oddHBand="1" w:evenHBand="0" w:firstRowFirstColumn="0" w:firstRowLastColumn="0" w:lastRowFirstColumn="0" w:lastRowLastColumn="0"/>
            </w:pPr>
            <w:r>
              <w:t>I</w:t>
            </w:r>
            <w:r w:rsidRPr="007D41A5">
              <w:t>f gist is incorrectly coded as a /2, would that create an edit?</w:t>
            </w:r>
          </w:p>
        </w:tc>
        <w:tc>
          <w:tcPr>
            <w:tcW w:w="5940" w:type="dxa"/>
          </w:tcPr>
          <w:p w14:paraId="56736145" w14:textId="36057147" w:rsidR="00BF1EE6" w:rsidRPr="005B4B36" w:rsidRDefault="00BF779A"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Yes. GIST cannot be /2. It is biologically impossible. </w:t>
            </w:r>
          </w:p>
        </w:tc>
      </w:tr>
      <w:tr w:rsidR="00BF1EE6" w:rsidRPr="005B4B36" w14:paraId="045D3C2F"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1D09C9F"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B1567AF" w14:textId="2E7C3B21"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 xml:space="preserve">Does cancer </w:t>
            </w:r>
            <w:r w:rsidR="00A21F7F" w:rsidRPr="007D41A5">
              <w:t>PathCHART</w:t>
            </w:r>
            <w:r w:rsidRPr="007D41A5">
              <w:t xml:space="preserve"> have all possible histology combinations?</w:t>
            </w:r>
          </w:p>
        </w:tc>
        <w:tc>
          <w:tcPr>
            <w:tcW w:w="5940" w:type="dxa"/>
          </w:tcPr>
          <w:p w14:paraId="2F37A261" w14:textId="589DBFD7" w:rsidR="00BF1EE6" w:rsidRPr="005B4B36" w:rsidRDefault="006A4319"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No, but I’m guessing that there are not many that are biologically possible missing!</w:t>
            </w:r>
          </w:p>
        </w:tc>
      </w:tr>
      <w:tr w:rsidR="00BF1EE6" w:rsidRPr="005B4B36" w14:paraId="7F530B76"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B609756"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139A68BB" w14:textId="12860499" w:rsidR="00BF1EE6" w:rsidRDefault="00BF1EE6" w:rsidP="00BF1EE6">
            <w:pPr>
              <w:cnfStyle w:val="000000100000" w:firstRow="0" w:lastRow="0" w:firstColumn="0" w:lastColumn="0" w:oddVBand="0" w:evenVBand="0" w:oddHBand="1" w:evenHBand="0" w:firstRowFirstColumn="0" w:firstRowLastColumn="0" w:lastRowFirstColumn="0" w:lastRowLastColumn="0"/>
            </w:pPr>
            <w:r>
              <w:t>I</w:t>
            </w:r>
            <w:r w:rsidRPr="007D41A5">
              <w:t>s a .csv file going to be made available which lists the histology code AND all the English text synonyms for each histology code.  That would be extremely helpful</w:t>
            </w:r>
            <w:r>
              <w:t>.</w:t>
            </w:r>
          </w:p>
        </w:tc>
        <w:tc>
          <w:tcPr>
            <w:tcW w:w="5940" w:type="dxa"/>
          </w:tcPr>
          <w:p w14:paraId="25B08109" w14:textId="058A9159" w:rsidR="00BF1EE6" w:rsidRPr="005B4B36" w:rsidRDefault="006E5C9C"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I don’t know if there will be a .csv file, but I know the Cancer PathCHART team is working on a database that will replace the annotated histology list. It will include all of the English text synonyms.  </w:t>
            </w:r>
          </w:p>
        </w:tc>
      </w:tr>
      <w:tr w:rsidR="00BF1EE6" w:rsidRPr="005B4B36" w14:paraId="1962449B"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6BA06F4F"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04DB0F88" w14:textId="35FBFA95"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My question was to the presenter that said if breast cancer initially 8500/2, 3 yrs later mets to lns-if I understood correctly she said change the histology code from 3 years ago, which I would imagine would pull up several edits in various data fields. Consideration may be worth giving to this because it could affect CoC quality measures and pts may look under treated as the updated case is submitted... just thoughts</w:t>
            </w:r>
          </w:p>
        </w:tc>
        <w:tc>
          <w:tcPr>
            <w:tcW w:w="5940" w:type="dxa"/>
          </w:tcPr>
          <w:p w14:paraId="62EF8230" w14:textId="238C5B99" w:rsidR="00BF1EE6" w:rsidRPr="005B4B36" w:rsidRDefault="006E5C9C"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SEER has a long standing coding instruction to change the behavior </w:t>
            </w:r>
            <w:r w:rsidR="008571BC">
              <w:rPr>
                <w:rFonts w:ascii="Calibri" w:eastAsia="Times New Roman" w:hAnsi="Calibri" w:cs="Times New Roman"/>
                <w:color w:val="000000"/>
              </w:rPr>
              <w:t xml:space="preserve">but keep the dx date in the scenario we discussed. You are correct, that it does trigger edits and requires quite a bit of updating of the record. I’m guessing it could also impact CoC quality measures. </w:t>
            </w:r>
          </w:p>
        </w:tc>
      </w:tr>
      <w:tr w:rsidR="00BF1EE6" w:rsidRPr="005B4B36" w14:paraId="38839FF5"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0FBD0515"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178BCAF" w14:textId="56FD162E"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 xml:space="preserve">PathCart is just for solid tumors, correct?  We still need to use the Heme Database for hematopoietic diseases.  If so, is there a .csv file that lists each histology with all the English text synonyms.  I know I can use the online database.  I would also like a copy of the .csv file.  Would that be possible?  </w:t>
            </w:r>
          </w:p>
        </w:tc>
        <w:tc>
          <w:tcPr>
            <w:tcW w:w="5940" w:type="dxa"/>
          </w:tcPr>
          <w:p w14:paraId="6FEB7F68" w14:textId="18DF4B9A" w:rsidR="00BF1EE6" w:rsidRPr="005B4B36" w:rsidRDefault="00DD3342"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Always use the Heme database for Heme cases. It has all the terms</w:t>
            </w:r>
            <w:r w:rsidR="00721342">
              <w:rPr>
                <w:rFonts w:ascii="Calibri" w:eastAsia="Times New Roman" w:hAnsi="Calibri" w:cs="Times New Roman"/>
                <w:color w:val="000000"/>
              </w:rPr>
              <w:t xml:space="preserve">, even the new terms from ICD-O-4. </w:t>
            </w:r>
          </w:p>
        </w:tc>
      </w:tr>
      <w:tr w:rsidR="00BF1EE6" w:rsidRPr="005B4B36" w14:paraId="6149E708" w14:textId="77777777" w:rsidTr="00012255">
        <w:trPr>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7E05A1F4"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3922F6D7" w14:textId="7DA11592" w:rsidR="00BF1EE6" w:rsidRDefault="00BF1EE6" w:rsidP="00BF1EE6">
            <w:pPr>
              <w:cnfStyle w:val="000000000000" w:firstRow="0" w:lastRow="0" w:firstColumn="0" w:lastColumn="0" w:oddVBand="0" w:evenVBand="0" w:oddHBand="0" w:evenHBand="0" w:firstRowFirstColumn="0" w:firstRowLastColumn="0" w:lastRowFirstColumn="0" w:lastRowLastColumn="0"/>
            </w:pPr>
            <w:r w:rsidRPr="007D41A5">
              <w:t>Jim - you just pulled up 9533/0 in spinal Meninges in your spreadsheet for the CPC Search. I have a case that I was just looking at before this Webinar started and we can't get it to clear edits.</w:t>
            </w:r>
          </w:p>
        </w:tc>
        <w:tc>
          <w:tcPr>
            <w:tcW w:w="5940" w:type="dxa"/>
          </w:tcPr>
          <w:p w14:paraId="0D6470D9" w14:textId="03F23706" w:rsidR="00BF1EE6" w:rsidRPr="005B4B36" w:rsidRDefault="008571BC" w:rsidP="00BF1E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Please contact me with the edits that are causing you problems and the scenario!</w:t>
            </w:r>
          </w:p>
        </w:tc>
      </w:tr>
      <w:tr w:rsidR="00BF1EE6" w:rsidRPr="005B4B36" w14:paraId="028B2244" w14:textId="77777777" w:rsidTr="000122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0" w:type="dxa"/>
            <w:noWrap/>
          </w:tcPr>
          <w:p w14:paraId="4F78AF9A" w14:textId="77777777" w:rsidR="00BF1EE6" w:rsidRPr="004E01C8" w:rsidRDefault="00BF1EE6" w:rsidP="00BF1EE6">
            <w:pPr>
              <w:pStyle w:val="ListParagraph"/>
              <w:numPr>
                <w:ilvl w:val="0"/>
                <w:numId w:val="6"/>
              </w:numPr>
              <w:jc w:val="center"/>
              <w:rPr>
                <w:rFonts w:ascii="Calibri" w:eastAsia="Times New Roman" w:hAnsi="Calibri" w:cs="Times New Roman"/>
                <w:color w:val="000000"/>
              </w:rPr>
            </w:pPr>
          </w:p>
        </w:tc>
        <w:tc>
          <w:tcPr>
            <w:tcW w:w="5940" w:type="dxa"/>
            <w:noWrap/>
          </w:tcPr>
          <w:p w14:paraId="63F58F78" w14:textId="27C57940" w:rsidR="00BF1EE6" w:rsidRDefault="00BF1EE6" w:rsidP="00BF1EE6">
            <w:pPr>
              <w:cnfStyle w:val="000000100000" w:firstRow="0" w:lastRow="0" w:firstColumn="0" w:lastColumn="0" w:oddVBand="0" w:evenVBand="0" w:oddHBand="1" w:evenHBand="0" w:firstRowFirstColumn="0" w:firstRowLastColumn="0" w:lastRowFirstColumn="0" w:lastRowLastColumn="0"/>
            </w:pPr>
            <w:r w:rsidRPr="007D41A5">
              <w:t>Are there plans to add more real-world pathology report examples or case studies to CPC*Search to help explain why certain morphologies are preferred or considered unlikely?</w:t>
            </w:r>
          </w:p>
        </w:tc>
        <w:tc>
          <w:tcPr>
            <w:tcW w:w="5940" w:type="dxa"/>
          </w:tcPr>
          <w:p w14:paraId="5E8DD758" w14:textId="1BA82AB5" w:rsidR="00BF1EE6" w:rsidRPr="005B4B36" w:rsidRDefault="008571BC" w:rsidP="00BF1E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Definitely worth looking in to!</w:t>
            </w:r>
          </w:p>
        </w:tc>
      </w:tr>
    </w:tbl>
    <w:p w14:paraId="62E31513" w14:textId="77777777" w:rsidR="003C3CD9" w:rsidRDefault="003C3CD9" w:rsidP="00D56F27">
      <w:pPr>
        <w:ind w:right="-810"/>
      </w:pPr>
    </w:p>
    <w:sectPr w:rsidR="003C3CD9" w:rsidSect="00AF579D">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50C4B" w14:textId="77777777" w:rsidR="00406F07" w:rsidRDefault="00406F07" w:rsidP="004E6335">
      <w:pPr>
        <w:spacing w:after="0" w:line="240" w:lineRule="auto"/>
      </w:pPr>
      <w:r>
        <w:separator/>
      </w:r>
    </w:p>
  </w:endnote>
  <w:endnote w:type="continuationSeparator" w:id="0">
    <w:p w14:paraId="26B8F115" w14:textId="77777777" w:rsidR="00406F07" w:rsidRDefault="00406F07" w:rsidP="004E6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898535"/>
      <w:docPartObj>
        <w:docPartGallery w:val="Page Numbers (Bottom of Page)"/>
        <w:docPartUnique/>
      </w:docPartObj>
    </w:sdtPr>
    <w:sdtEndPr>
      <w:rPr>
        <w:noProof/>
      </w:rPr>
    </w:sdtEndPr>
    <w:sdtContent>
      <w:p w14:paraId="6F4A047D" w14:textId="35ABD5BA" w:rsidR="00CB16E2" w:rsidRDefault="00721342" w:rsidP="00752462">
        <w:pPr>
          <w:spacing w:after="0"/>
        </w:pPr>
        <w:fldSimple w:instr=" STYLEREF  &quot;Heading 1&quot;  \* MERGEFORMAT ">
          <w:r w:rsidR="00D4652D">
            <w:rPr>
              <w:noProof/>
            </w:rPr>
            <w:t>Q&amp;A Session for 2026 Mid-Year Update</w:t>
          </w:r>
        </w:fldSimple>
      </w:p>
      <w:p w14:paraId="059B2341" w14:textId="6FAB7E43" w:rsidR="00CB16E2" w:rsidRDefault="00721342" w:rsidP="00752462">
        <w:pPr>
          <w:pStyle w:val="Footer"/>
        </w:pPr>
        <w:fldSimple w:instr=" STYLEREF  &quot;Heading 2&quot;  \* MERGEFORMAT ">
          <w:r w:rsidR="00D4652D">
            <w:rPr>
              <w:noProof/>
            </w:rPr>
            <w:t>August 4, 2026</w:t>
          </w:r>
        </w:fldSimple>
      </w:p>
    </w:sdtContent>
  </w:sdt>
  <w:p w14:paraId="2BA42132" w14:textId="77777777" w:rsidR="004E6335" w:rsidRPr="004E6335" w:rsidRDefault="004E6335" w:rsidP="004E633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675B5" w14:textId="77777777" w:rsidR="00406F07" w:rsidRDefault="00406F07" w:rsidP="004E6335">
      <w:pPr>
        <w:spacing w:after="0" w:line="240" w:lineRule="auto"/>
      </w:pPr>
      <w:r>
        <w:separator/>
      </w:r>
    </w:p>
  </w:footnote>
  <w:footnote w:type="continuationSeparator" w:id="0">
    <w:p w14:paraId="06F277D4" w14:textId="77777777" w:rsidR="00406F07" w:rsidRDefault="00406F07" w:rsidP="004E6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02C4"/>
    <w:multiLevelType w:val="hybridMultilevel"/>
    <w:tmpl w:val="87A2E324"/>
    <w:lvl w:ilvl="0" w:tplc="59FC9476">
      <w:start w:val="1"/>
      <w:numFmt w:val="decimal"/>
      <w:lvlText w:val="%1."/>
      <w:lvlJc w:val="left"/>
      <w:pPr>
        <w:ind w:left="720" w:hanging="360"/>
      </w:pPr>
      <w:rPr>
        <w:rFonts w:ascii="Calibri" w:hAnsi="Calibri" w:hint="default"/>
        <w:b/>
        <w:i w:val="0"/>
        <w:spacing w:val="-2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679D4"/>
    <w:multiLevelType w:val="hybridMultilevel"/>
    <w:tmpl w:val="FBF69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694106"/>
    <w:multiLevelType w:val="hybridMultilevel"/>
    <w:tmpl w:val="81C8411A"/>
    <w:lvl w:ilvl="0" w:tplc="14DCA516">
      <w:start w:val="1"/>
      <w:numFmt w:val="decimal"/>
      <w:lvlText w:val="%1."/>
      <w:lvlJc w:val="left"/>
      <w:pPr>
        <w:ind w:left="720" w:hanging="360"/>
      </w:pPr>
      <w:rPr>
        <w:rFonts w:ascii="Arial" w:hAnsi="Arial"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933F3"/>
    <w:multiLevelType w:val="hybridMultilevel"/>
    <w:tmpl w:val="5AEA4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211D7E"/>
    <w:multiLevelType w:val="hybridMultilevel"/>
    <w:tmpl w:val="49F4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976E4"/>
    <w:multiLevelType w:val="hybridMultilevel"/>
    <w:tmpl w:val="907A3F86"/>
    <w:lvl w:ilvl="0" w:tplc="14DCA516">
      <w:start w:val="1"/>
      <w:numFmt w:val="decimal"/>
      <w:lvlText w:val="%1."/>
      <w:lvlJc w:val="left"/>
      <w:pPr>
        <w:ind w:left="720" w:hanging="360"/>
      </w:pPr>
      <w:rPr>
        <w:rFonts w:ascii="Arial" w:hAnsi="Arial"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B37971"/>
    <w:multiLevelType w:val="hybridMultilevel"/>
    <w:tmpl w:val="8A380386"/>
    <w:lvl w:ilvl="0" w:tplc="59FC9476">
      <w:start w:val="1"/>
      <w:numFmt w:val="decimal"/>
      <w:lvlText w:val="%1."/>
      <w:lvlJc w:val="left"/>
      <w:pPr>
        <w:ind w:left="720" w:hanging="360"/>
      </w:pPr>
      <w:rPr>
        <w:rFonts w:ascii="Calibri" w:hAnsi="Calibri" w:hint="default"/>
        <w:b/>
        <w:i w:val="0"/>
        <w:spacing w:val="-2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46349">
    <w:abstractNumId w:val="2"/>
  </w:num>
  <w:num w:numId="2" w16cid:durableId="1623681939">
    <w:abstractNumId w:val="5"/>
  </w:num>
  <w:num w:numId="3" w16cid:durableId="348261968">
    <w:abstractNumId w:val="4"/>
  </w:num>
  <w:num w:numId="4" w16cid:durableId="1617981222">
    <w:abstractNumId w:val="6"/>
  </w:num>
  <w:num w:numId="5" w16cid:durableId="897210758">
    <w:abstractNumId w:val="0"/>
  </w:num>
  <w:num w:numId="6" w16cid:durableId="1897273471">
    <w:abstractNumId w:val="3"/>
  </w:num>
  <w:num w:numId="7" w16cid:durableId="843252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40D"/>
    <w:rsid w:val="00012255"/>
    <w:rsid w:val="00046565"/>
    <w:rsid w:val="000742F2"/>
    <w:rsid w:val="000E0E27"/>
    <w:rsid w:val="000E6C02"/>
    <w:rsid w:val="000F3AAA"/>
    <w:rsid w:val="00126725"/>
    <w:rsid w:val="001943E4"/>
    <w:rsid w:val="002014A2"/>
    <w:rsid w:val="002D2206"/>
    <w:rsid w:val="002D7CB9"/>
    <w:rsid w:val="002F1F6F"/>
    <w:rsid w:val="00385593"/>
    <w:rsid w:val="003C3CD9"/>
    <w:rsid w:val="00406F07"/>
    <w:rsid w:val="004E01C8"/>
    <w:rsid w:val="004E4AD8"/>
    <w:rsid w:val="004E6335"/>
    <w:rsid w:val="0050235A"/>
    <w:rsid w:val="00532AE4"/>
    <w:rsid w:val="005B4B36"/>
    <w:rsid w:val="00616EEA"/>
    <w:rsid w:val="0064640D"/>
    <w:rsid w:val="00665641"/>
    <w:rsid w:val="006A4319"/>
    <w:rsid w:val="006A6595"/>
    <w:rsid w:val="006B5FF9"/>
    <w:rsid w:val="006D3B0F"/>
    <w:rsid w:val="006E5C9C"/>
    <w:rsid w:val="00717EA2"/>
    <w:rsid w:val="00721342"/>
    <w:rsid w:val="0074343E"/>
    <w:rsid w:val="00752462"/>
    <w:rsid w:val="00767A0E"/>
    <w:rsid w:val="007D7E2D"/>
    <w:rsid w:val="007E75B9"/>
    <w:rsid w:val="007F6A0C"/>
    <w:rsid w:val="00800452"/>
    <w:rsid w:val="008571BC"/>
    <w:rsid w:val="00870E88"/>
    <w:rsid w:val="00963F0D"/>
    <w:rsid w:val="00971482"/>
    <w:rsid w:val="00A21F7F"/>
    <w:rsid w:val="00A9184F"/>
    <w:rsid w:val="00A97360"/>
    <w:rsid w:val="00AE1D2E"/>
    <w:rsid w:val="00AF579D"/>
    <w:rsid w:val="00B1281C"/>
    <w:rsid w:val="00B336D0"/>
    <w:rsid w:val="00B77969"/>
    <w:rsid w:val="00BA5935"/>
    <w:rsid w:val="00BF1EE6"/>
    <w:rsid w:val="00BF779A"/>
    <w:rsid w:val="00C009D5"/>
    <w:rsid w:val="00C6531D"/>
    <w:rsid w:val="00CB16E2"/>
    <w:rsid w:val="00CC1F53"/>
    <w:rsid w:val="00D41A73"/>
    <w:rsid w:val="00D4652D"/>
    <w:rsid w:val="00D56F27"/>
    <w:rsid w:val="00DD3342"/>
    <w:rsid w:val="00DD3F6A"/>
    <w:rsid w:val="00E24072"/>
    <w:rsid w:val="00E3772C"/>
    <w:rsid w:val="00E51789"/>
    <w:rsid w:val="00E83490"/>
    <w:rsid w:val="00E9738D"/>
    <w:rsid w:val="00EE1871"/>
    <w:rsid w:val="00F00C1D"/>
    <w:rsid w:val="00F27486"/>
    <w:rsid w:val="00F65AD1"/>
    <w:rsid w:val="00FE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CE488"/>
  <w15:chartTrackingRefBased/>
  <w15:docId w15:val="{B156ACDA-1645-48F8-89D4-E37026E1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2F2"/>
  </w:style>
  <w:style w:type="paragraph" w:styleId="Heading1">
    <w:name w:val="heading 1"/>
    <w:basedOn w:val="Normal"/>
    <w:next w:val="Normal"/>
    <w:link w:val="Heading1Char"/>
    <w:uiPriority w:val="9"/>
    <w:qFormat/>
    <w:rsid w:val="000742F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0742F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42F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742F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742F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742F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742F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742F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742F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6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40D"/>
    <w:rPr>
      <w:color w:val="0563C1" w:themeColor="hyperlink"/>
      <w:u w:val="single"/>
    </w:rPr>
  </w:style>
  <w:style w:type="paragraph" w:styleId="Header">
    <w:name w:val="header"/>
    <w:basedOn w:val="Normal"/>
    <w:link w:val="HeaderChar"/>
    <w:uiPriority w:val="99"/>
    <w:unhideWhenUsed/>
    <w:rsid w:val="004E6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335"/>
  </w:style>
  <w:style w:type="paragraph" w:styleId="Footer">
    <w:name w:val="footer"/>
    <w:basedOn w:val="Normal"/>
    <w:link w:val="FooterChar"/>
    <w:uiPriority w:val="99"/>
    <w:unhideWhenUsed/>
    <w:rsid w:val="004E6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335"/>
  </w:style>
  <w:style w:type="paragraph" w:styleId="ListParagraph">
    <w:name w:val="List Paragraph"/>
    <w:basedOn w:val="Normal"/>
    <w:uiPriority w:val="34"/>
    <w:qFormat/>
    <w:rsid w:val="007F6A0C"/>
    <w:pPr>
      <w:ind w:left="720"/>
      <w:contextualSpacing/>
    </w:pPr>
  </w:style>
  <w:style w:type="table" w:styleId="GridTable2">
    <w:name w:val="Grid Table 2"/>
    <w:basedOn w:val="TableNormal"/>
    <w:uiPriority w:val="47"/>
    <w:rsid w:val="002014A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0742F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0742F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42F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742F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742F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742F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742F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742F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742F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742F2"/>
    <w:pPr>
      <w:spacing w:line="240" w:lineRule="auto"/>
    </w:pPr>
    <w:rPr>
      <w:b/>
      <w:bCs/>
      <w:smallCaps/>
      <w:color w:val="44546A" w:themeColor="text2"/>
    </w:rPr>
  </w:style>
  <w:style w:type="paragraph" w:styleId="Title">
    <w:name w:val="Title"/>
    <w:basedOn w:val="Normal"/>
    <w:next w:val="Normal"/>
    <w:link w:val="TitleChar"/>
    <w:uiPriority w:val="10"/>
    <w:qFormat/>
    <w:rsid w:val="000742F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742F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742F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742F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742F2"/>
    <w:rPr>
      <w:b/>
      <w:bCs/>
    </w:rPr>
  </w:style>
  <w:style w:type="character" w:styleId="Emphasis">
    <w:name w:val="Emphasis"/>
    <w:basedOn w:val="DefaultParagraphFont"/>
    <w:uiPriority w:val="20"/>
    <w:qFormat/>
    <w:rsid w:val="000742F2"/>
    <w:rPr>
      <w:i/>
      <w:iCs/>
    </w:rPr>
  </w:style>
  <w:style w:type="paragraph" w:styleId="NoSpacing">
    <w:name w:val="No Spacing"/>
    <w:uiPriority w:val="1"/>
    <w:qFormat/>
    <w:rsid w:val="000742F2"/>
    <w:pPr>
      <w:spacing w:after="0" w:line="240" w:lineRule="auto"/>
    </w:pPr>
  </w:style>
  <w:style w:type="paragraph" w:styleId="Quote">
    <w:name w:val="Quote"/>
    <w:basedOn w:val="Normal"/>
    <w:next w:val="Normal"/>
    <w:link w:val="QuoteChar"/>
    <w:uiPriority w:val="29"/>
    <w:qFormat/>
    <w:rsid w:val="000742F2"/>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742F2"/>
    <w:rPr>
      <w:color w:val="44546A" w:themeColor="text2"/>
      <w:sz w:val="24"/>
      <w:szCs w:val="24"/>
    </w:rPr>
  </w:style>
  <w:style w:type="paragraph" w:styleId="IntenseQuote">
    <w:name w:val="Intense Quote"/>
    <w:basedOn w:val="Normal"/>
    <w:next w:val="Normal"/>
    <w:link w:val="IntenseQuoteChar"/>
    <w:uiPriority w:val="30"/>
    <w:qFormat/>
    <w:rsid w:val="000742F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742F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742F2"/>
    <w:rPr>
      <w:i/>
      <w:iCs/>
      <w:color w:val="595959" w:themeColor="text1" w:themeTint="A6"/>
    </w:rPr>
  </w:style>
  <w:style w:type="character" w:styleId="IntenseEmphasis">
    <w:name w:val="Intense Emphasis"/>
    <w:basedOn w:val="DefaultParagraphFont"/>
    <w:uiPriority w:val="21"/>
    <w:qFormat/>
    <w:rsid w:val="000742F2"/>
    <w:rPr>
      <w:b/>
      <w:bCs/>
      <w:i/>
      <w:iCs/>
    </w:rPr>
  </w:style>
  <w:style w:type="character" w:styleId="SubtleReference">
    <w:name w:val="Subtle Reference"/>
    <w:basedOn w:val="DefaultParagraphFont"/>
    <w:uiPriority w:val="31"/>
    <w:qFormat/>
    <w:rsid w:val="000742F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742F2"/>
    <w:rPr>
      <w:b/>
      <w:bCs/>
      <w:smallCaps/>
      <w:color w:val="44546A" w:themeColor="text2"/>
      <w:u w:val="single"/>
    </w:rPr>
  </w:style>
  <w:style w:type="character" w:styleId="BookTitle">
    <w:name w:val="Book Title"/>
    <w:basedOn w:val="DefaultParagraphFont"/>
    <w:uiPriority w:val="33"/>
    <w:qFormat/>
    <w:rsid w:val="000742F2"/>
    <w:rPr>
      <w:b/>
      <w:bCs/>
      <w:smallCaps/>
      <w:spacing w:val="10"/>
    </w:rPr>
  </w:style>
  <w:style w:type="paragraph" w:styleId="TOCHeading">
    <w:name w:val="TOC Heading"/>
    <w:basedOn w:val="Heading1"/>
    <w:next w:val="Normal"/>
    <w:uiPriority w:val="39"/>
    <w:semiHidden/>
    <w:unhideWhenUsed/>
    <w:qFormat/>
    <w:rsid w:val="000742F2"/>
    <w:pPr>
      <w:outlineLvl w:val="9"/>
    </w:pPr>
  </w:style>
  <w:style w:type="character" w:styleId="UnresolvedMention">
    <w:name w:val="Unresolved Mention"/>
    <w:basedOn w:val="DefaultParagraphFont"/>
    <w:uiPriority w:val="99"/>
    <w:semiHidden/>
    <w:unhideWhenUsed/>
    <w:rsid w:val="00B7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453079">
      <w:bodyDiv w:val="1"/>
      <w:marLeft w:val="0"/>
      <w:marRight w:val="0"/>
      <w:marTop w:val="0"/>
      <w:marBottom w:val="0"/>
      <w:divBdr>
        <w:top w:val="none" w:sz="0" w:space="0" w:color="auto"/>
        <w:left w:val="none" w:sz="0" w:space="0" w:color="auto"/>
        <w:bottom w:val="none" w:sz="0" w:space="0" w:color="auto"/>
        <w:right w:val="none" w:sz="0" w:space="0" w:color="auto"/>
      </w:divBdr>
    </w:div>
    <w:div w:id="481964031">
      <w:bodyDiv w:val="1"/>
      <w:marLeft w:val="0"/>
      <w:marRight w:val="0"/>
      <w:marTop w:val="0"/>
      <w:marBottom w:val="0"/>
      <w:divBdr>
        <w:top w:val="none" w:sz="0" w:space="0" w:color="auto"/>
        <w:left w:val="none" w:sz="0" w:space="0" w:color="auto"/>
        <w:bottom w:val="none" w:sz="0" w:space="0" w:color="auto"/>
        <w:right w:val="none" w:sz="0" w:space="0" w:color="auto"/>
      </w:divBdr>
    </w:div>
    <w:div w:id="1154639277">
      <w:bodyDiv w:val="1"/>
      <w:marLeft w:val="0"/>
      <w:marRight w:val="0"/>
      <w:marTop w:val="0"/>
      <w:marBottom w:val="0"/>
      <w:divBdr>
        <w:top w:val="none" w:sz="0" w:space="0" w:color="auto"/>
        <w:left w:val="none" w:sz="0" w:space="0" w:color="auto"/>
        <w:bottom w:val="none" w:sz="0" w:space="0" w:color="auto"/>
        <w:right w:val="none" w:sz="0" w:space="0" w:color="auto"/>
      </w:divBdr>
    </w:div>
    <w:div w:id="1343363441">
      <w:bodyDiv w:val="1"/>
      <w:marLeft w:val="0"/>
      <w:marRight w:val="0"/>
      <w:marTop w:val="0"/>
      <w:marBottom w:val="0"/>
      <w:divBdr>
        <w:top w:val="none" w:sz="0" w:space="0" w:color="auto"/>
        <w:left w:val="none" w:sz="0" w:space="0" w:color="auto"/>
        <w:bottom w:val="none" w:sz="0" w:space="0" w:color="auto"/>
        <w:right w:val="none" w:sz="0" w:space="0" w:color="auto"/>
      </w:divBdr>
    </w:div>
    <w:div w:id="2094937020">
      <w:bodyDiv w:val="1"/>
      <w:marLeft w:val="0"/>
      <w:marRight w:val="0"/>
      <w:marTop w:val="0"/>
      <w:marBottom w:val="0"/>
      <w:divBdr>
        <w:top w:val="none" w:sz="0" w:space="0" w:color="auto"/>
        <w:left w:val="none" w:sz="0" w:space="0" w:color="auto"/>
        <w:bottom w:val="none" w:sz="0" w:space="0" w:color="auto"/>
        <w:right w:val="none" w:sz="0" w:space="0" w:color="auto"/>
      </w:divBdr>
    </w:div>
    <w:div w:id="209755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naaccr.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hrome-extension://efaidnbmnnnibpcajpcglclefindmkaj/https:/www.cap.org/wp-content/uploads/2026/07/Stomach_4.4.0.0.REL_CAPCP-1.pdf?download=true" TargetMode="External"/><Relationship Id="rId4" Type="http://schemas.openxmlformats.org/officeDocument/2006/relationships/settings" Target="settings.xml"/><Relationship Id="rId9" Type="http://schemas.openxmlformats.org/officeDocument/2006/relationships/hyperlink" Target="chrome-extension://efaidnbmnnnibpcajpcglclefindmkaj/https:/www.cap.org/wp-content/uploads/protocols/Lung.Bmk_2.2.0.0.REL_CAPCP.pdf?downloa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8F25D-A493-459D-9322-BA2AB229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Kulmacz</dc:creator>
  <cp:keywords/>
  <dc:description/>
  <cp:lastModifiedBy>Jim Hofferkamp</cp:lastModifiedBy>
  <cp:revision>2</cp:revision>
  <dcterms:created xsi:type="dcterms:W3CDTF">2026-08-18T15:52:00Z</dcterms:created>
  <dcterms:modified xsi:type="dcterms:W3CDTF">2026-08-18T15:52:00Z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1c2075-f2ee-41ae-8029-486c3fee84e8_Enabled">
    <vt:lpwstr>true</vt:lpwstr>
  </property>
  <property fmtid="{D5CDD505-2E9C-101B-9397-08002B2CF9AE}" pid="3" name="MSIP_Label_ad1c2075-f2ee-41ae-8029-486c3fee84e8_SetDate">
    <vt:lpwstr>2026-08-17T20:55:54Z</vt:lpwstr>
  </property>
  <property fmtid="{D5CDD505-2E9C-101B-9397-08002B2CF9AE}" pid="4" name="MSIP_Label_ad1c2075-f2ee-41ae-8029-486c3fee84e8_Method">
    <vt:lpwstr>Standard</vt:lpwstr>
  </property>
  <property fmtid="{D5CDD505-2E9C-101B-9397-08002B2CF9AE}" pid="5" name="MSIP_Label_ad1c2075-f2ee-41ae-8029-486c3fee84e8_Name">
    <vt:lpwstr>Internal</vt:lpwstr>
  </property>
  <property fmtid="{D5CDD505-2E9C-101B-9397-08002B2CF9AE}" pid="6" name="MSIP_Label_ad1c2075-f2ee-41ae-8029-486c3fee84e8_SiteId">
    <vt:lpwstr>132f6d73-87bb-49ae-a226-ee23f9ef7518</vt:lpwstr>
  </property>
  <property fmtid="{D5CDD505-2E9C-101B-9397-08002B2CF9AE}" pid="7" name="MSIP_Label_ad1c2075-f2ee-41ae-8029-486c3fee84e8_ActionId">
    <vt:lpwstr>c23cf77a-d1e8-4ff1-8a38-0329d6dbb32b</vt:lpwstr>
  </property>
  <property fmtid="{D5CDD505-2E9C-101B-9397-08002B2CF9AE}" pid="8" name="MSIP_Label_ad1c2075-f2ee-41ae-8029-486c3fee84e8_ContentBits">
    <vt:lpwstr>0</vt:lpwstr>
  </property>
  <property fmtid="{D5CDD505-2E9C-101B-9397-08002B2CF9AE}" pid="9" name="MSIP_Label_ad1c2075-f2ee-41ae-8029-486c3fee84e8_Tag">
    <vt:lpwstr>10, 3, 0, 1</vt:lpwstr>
  </property>
</Properties>
</file>